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AACE1B" w14:textId="69F9511C" w:rsidR="007E1F2A" w:rsidRPr="00BA6661" w:rsidRDefault="00BA6661">
      <w:pPr>
        <w:rPr>
          <w:b/>
          <w:bCs/>
          <w:sz w:val="32"/>
          <w:szCs w:val="32"/>
          <w:lang w:val="en-US"/>
        </w:rPr>
      </w:pPr>
      <w:r w:rsidRPr="00BA6661">
        <w:rPr>
          <w:b/>
          <w:bCs/>
          <w:sz w:val="32"/>
          <w:szCs w:val="32"/>
          <w:lang w:val="en-US"/>
        </w:rPr>
        <w:t>Online Supplementary File</w:t>
      </w:r>
      <w:bookmarkStart w:id="0" w:name="_GoBack"/>
      <w:bookmarkEnd w:id="0"/>
    </w:p>
    <w:p w14:paraId="1CA99CAE" w14:textId="31EC7C34" w:rsidR="00BA6661" w:rsidRDefault="00BA6661">
      <w:pPr>
        <w:rPr>
          <w:lang w:val="en-US"/>
        </w:rPr>
      </w:pPr>
    </w:p>
    <w:p w14:paraId="5865AB2F" w14:textId="0D13412C" w:rsidR="00BA6661" w:rsidRPr="00BA6661" w:rsidRDefault="00BA6661">
      <w:pPr>
        <w:rPr>
          <w:b/>
          <w:bCs/>
          <w:lang w:val="en-US"/>
        </w:rPr>
      </w:pPr>
      <w:r w:rsidRPr="00BA6661">
        <w:rPr>
          <w:b/>
          <w:bCs/>
          <w:lang w:val="en-US"/>
        </w:rPr>
        <w:t>Contents</w:t>
      </w:r>
    </w:p>
    <w:p w14:paraId="6EF61A9E" w14:textId="3280A0AD" w:rsidR="00BA6661" w:rsidRDefault="00BA6661">
      <w:pPr>
        <w:pStyle w:val="TOC1"/>
        <w:tabs>
          <w:tab w:val="right" w:leader="dot" w:pos="9010"/>
        </w:tabs>
        <w:rPr>
          <w:noProof/>
        </w:rPr>
      </w:pPr>
      <w:r>
        <w:rPr>
          <w:lang w:val="en-US"/>
        </w:rPr>
        <w:fldChar w:fldCharType="begin"/>
      </w:r>
      <w:r>
        <w:rPr>
          <w:lang w:val="en-US"/>
        </w:rPr>
        <w:instrText xml:space="preserve"> TOC \o "1-3" \h \z \u </w:instrText>
      </w:r>
      <w:r>
        <w:rPr>
          <w:lang w:val="en-US"/>
        </w:rPr>
        <w:fldChar w:fldCharType="separate"/>
      </w:r>
      <w:hyperlink w:anchor="_Toc32599900" w:history="1">
        <w:r w:rsidRPr="00F544DB">
          <w:rPr>
            <w:rStyle w:val="Hyperlink"/>
            <w:noProof/>
            <w:lang w:val="en-US"/>
          </w:rPr>
          <w:t xml:space="preserve">Figure S1: Fluoroquinolone (FQ) consumption and prevalence of antimicrobial resistance to fluoroquinolones in </w:t>
        </w:r>
        <w:r w:rsidRPr="00F544DB">
          <w:rPr>
            <w:rStyle w:val="Hyperlink"/>
            <w:i/>
            <w:iCs/>
            <w:noProof/>
            <w:lang w:val="en-US"/>
          </w:rPr>
          <w:t>Neisseria gonorrhoeae</w:t>
        </w:r>
        <w:r w:rsidRPr="00F544DB">
          <w:rPr>
            <w:rStyle w:val="Hyperlink"/>
            <w:noProof/>
            <w:lang w:val="en-US"/>
          </w:rPr>
          <w:t xml:space="preserve"> (Ng) and </w:t>
        </w:r>
        <w:r w:rsidRPr="00F544DB">
          <w:rPr>
            <w:rStyle w:val="Hyperlink"/>
            <w:i/>
            <w:iCs/>
            <w:noProof/>
            <w:lang w:val="en-US"/>
          </w:rPr>
          <w:t>Escherichia coli</w:t>
        </w:r>
        <w:r w:rsidRPr="00F544DB">
          <w:rPr>
            <w:rStyle w:val="Hyperlink"/>
            <w:noProof/>
            <w:lang w:val="en-US"/>
          </w:rPr>
          <w:t xml:space="preserve"> (Ec) in 30 European countries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_Toc32599900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26805E6" w14:textId="4CF84B56" w:rsidR="00BA6661" w:rsidRDefault="00BA6661">
      <w:pPr>
        <w:pStyle w:val="TOC1"/>
        <w:tabs>
          <w:tab w:val="right" w:leader="dot" w:pos="9010"/>
        </w:tabs>
        <w:rPr>
          <w:noProof/>
        </w:rPr>
      </w:pPr>
      <w:hyperlink w:anchor="_Toc32599901" w:history="1">
        <w:r w:rsidRPr="00F544DB">
          <w:rPr>
            <w:rStyle w:val="Hyperlink"/>
            <w:noProof/>
            <w:lang w:val="en-US"/>
          </w:rPr>
          <w:t xml:space="preserve">Figure S2: Macrolide consumption and prevalence of antimicrobial resistance to azithromycin in </w:t>
        </w:r>
        <w:r w:rsidRPr="00F544DB">
          <w:rPr>
            <w:rStyle w:val="Hyperlink"/>
            <w:i/>
            <w:iCs/>
            <w:noProof/>
            <w:lang w:val="en-US"/>
          </w:rPr>
          <w:t>Neisseria gonorrhoeae</w:t>
        </w:r>
        <w:r w:rsidRPr="00F544DB">
          <w:rPr>
            <w:rStyle w:val="Hyperlink"/>
            <w:noProof/>
            <w:lang w:val="en-US"/>
          </w:rPr>
          <w:t xml:space="preserve"> (Ng) and macrolides in Streptococcuc pneumoniae (Sp) in 30 European countries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_Toc32599901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7350C2C9" w14:textId="1BB734FA" w:rsidR="00BA6661" w:rsidRDefault="00BA6661">
      <w:pPr>
        <w:rPr>
          <w:lang w:val="en-US"/>
        </w:rPr>
      </w:pPr>
      <w:r>
        <w:rPr>
          <w:lang w:val="en-US"/>
        </w:rPr>
        <w:fldChar w:fldCharType="end"/>
      </w:r>
      <w:r>
        <w:rPr>
          <w:lang w:val="en-US"/>
        </w:rPr>
        <w:br w:type="page"/>
      </w:r>
    </w:p>
    <w:p w14:paraId="47D69336" w14:textId="5B5E7D0F" w:rsidR="00BA6661" w:rsidRPr="00BA6661" w:rsidRDefault="00BA6661" w:rsidP="00BA6661">
      <w:pPr>
        <w:pStyle w:val="Heading1"/>
        <w:rPr>
          <w:color w:val="000000" w:themeColor="text1"/>
          <w:sz w:val="24"/>
          <w:szCs w:val="24"/>
          <w:lang w:val="en-US"/>
        </w:rPr>
      </w:pPr>
      <w:bookmarkStart w:id="1" w:name="_Toc32599900"/>
      <w:r w:rsidRPr="00BA6661">
        <w:rPr>
          <w:color w:val="000000" w:themeColor="text1"/>
          <w:sz w:val="24"/>
          <w:szCs w:val="24"/>
          <w:lang w:val="en-US"/>
        </w:rPr>
        <w:lastRenderedPageBreak/>
        <w:t xml:space="preserve">Figure S1: Fluoroquinolone (FQ) consumption and prevalence of antimicrobial resistance to fluoroquinolones in </w:t>
      </w:r>
      <w:r w:rsidRPr="00BA6661">
        <w:rPr>
          <w:i/>
          <w:iCs/>
          <w:color w:val="000000" w:themeColor="text1"/>
          <w:sz w:val="24"/>
          <w:szCs w:val="24"/>
          <w:lang w:val="en-US"/>
        </w:rPr>
        <w:t>Neisseria gonorrhoeae</w:t>
      </w:r>
      <w:r w:rsidRPr="00BA6661">
        <w:rPr>
          <w:color w:val="000000" w:themeColor="text1"/>
          <w:sz w:val="24"/>
          <w:szCs w:val="24"/>
          <w:lang w:val="en-US"/>
        </w:rPr>
        <w:t xml:space="preserve"> (Ng) and </w:t>
      </w:r>
      <w:r w:rsidRPr="00BA6661">
        <w:rPr>
          <w:i/>
          <w:iCs/>
          <w:color w:val="000000" w:themeColor="text1"/>
          <w:sz w:val="24"/>
          <w:szCs w:val="24"/>
          <w:lang w:val="en-US"/>
        </w:rPr>
        <w:t>Escherichia coli</w:t>
      </w:r>
      <w:r w:rsidRPr="00BA6661">
        <w:rPr>
          <w:color w:val="000000" w:themeColor="text1"/>
          <w:sz w:val="24"/>
          <w:szCs w:val="24"/>
          <w:lang w:val="en-US"/>
        </w:rPr>
        <w:t xml:space="preserve"> (</w:t>
      </w:r>
      <w:proofErr w:type="spellStart"/>
      <w:r w:rsidRPr="00BA6661">
        <w:rPr>
          <w:color w:val="000000" w:themeColor="text1"/>
          <w:sz w:val="24"/>
          <w:szCs w:val="24"/>
          <w:lang w:val="en-US"/>
        </w:rPr>
        <w:t>Ec</w:t>
      </w:r>
      <w:proofErr w:type="spellEnd"/>
      <w:r w:rsidRPr="00BA6661">
        <w:rPr>
          <w:color w:val="000000" w:themeColor="text1"/>
          <w:sz w:val="24"/>
          <w:szCs w:val="24"/>
          <w:lang w:val="en-US"/>
        </w:rPr>
        <w:t>) in 30 European countries</w:t>
      </w:r>
      <w:bookmarkEnd w:id="1"/>
    </w:p>
    <w:p w14:paraId="7B70BDE2" w14:textId="77777777" w:rsidR="00BA6661" w:rsidRDefault="00BA6661">
      <w:pPr>
        <w:rPr>
          <w:lang w:val="en-US"/>
        </w:rPr>
      </w:pPr>
    </w:p>
    <w:p w14:paraId="622D0A69" w14:textId="07A46E7F" w:rsidR="007E1F2A" w:rsidRDefault="007E1F2A">
      <w:pPr>
        <w:rPr>
          <w:lang w:val="en-US"/>
        </w:rPr>
      </w:pPr>
      <w:r w:rsidRPr="0000046D">
        <w:rPr>
          <w:lang w:val="en-US"/>
        </w:rPr>
        <w:drawing>
          <wp:inline distT="0" distB="0" distL="0" distR="0" wp14:anchorId="02EF5C7E" wp14:editId="33BC0226">
            <wp:extent cx="5029200" cy="3657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FA0C1" w14:textId="2036E2CF" w:rsidR="0085241D" w:rsidRDefault="0085241D">
      <w:pPr>
        <w:rPr>
          <w:lang w:val="en-US"/>
        </w:rPr>
      </w:pPr>
    </w:p>
    <w:p w14:paraId="6632DE0B" w14:textId="77777777" w:rsidR="0085241D" w:rsidRPr="0085241D" w:rsidRDefault="0085241D" w:rsidP="0085241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sz w:val="13"/>
          <w:szCs w:val="13"/>
          <w:lang w:val="en-GB"/>
        </w:rPr>
      </w:pPr>
      <w:r w:rsidRPr="0085241D">
        <w:rPr>
          <w:rFonts w:ascii="Arial" w:hAnsi="Arial" w:cs="Arial"/>
          <w:color w:val="000000" w:themeColor="text1"/>
          <w:sz w:val="13"/>
          <w:szCs w:val="13"/>
          <w:lang w:val="en-GB"/>
        </w:rPr>
        <w:t>Abbreviations: AT, Austria; BE, Belgium; CZ, Czech Republic; DE, Germany; DK, Denmark; EE, Estonia; EL, Greece; ES, Spain; FI, Finland; FR, France; HR, Croatia; HU, Hungary; IE, Ireland; IT, Italy; LU, Luxembourg; LV, Latvia; NL, the Netherlands; NO, Norway; PL, Poland; PT, Portugal; SE, Sweden; SI, Slovenia; SK, Slovakia; UK, United Kingdom.</w:t>
      </w:r>
    </w:p>
    <w:p w14:paraId="74A7D8BE" w14:textId="77777777" w:rsidR="0085241D" w:rsidRDefault="0085241D">
      <w:pPr>
        <w:rPr>
          <w:lang w:val="en-US"/>
        </w:rPr>
      </w:pPr>
    </w:p>
    <w:p w14:paraId="4C7D8FD3" w14:textId="0DDA4EDE" w:rsidR="00BA6661" w:rsidRDefault="00BA6661">
      <w:pPr>
        <w:rPr>
          <w:lang w:val="en-US"/>
        </w:rPr>
      </w:pPr>
      <w:r>
        <w:rPr>
          <w:lang w:val="en-US"/>
        </w:rPr>
        <w:br w:type="page"/>
      </w:r>
    </w:p>
    <w:p w14:paraId="026D2E24" w14:textId="2D47B149" w:rsidR="00BA6661" w:rsidRPr="00BA6661" w:rsidRDefault="00BA6661" w:rsidP="00BA6661">
      <w:pPr>
        <w:pStyle w:val="Heading1"/>
        <w:rPr>
          <w:color w:val="000000" w:themeColor="text1"/>
          <w:sz w:val="24"/>
          <w:szCs w:val="24"/>
          <w:lang w:val="en-US"/>
        </w:rPr>
      </w:pPr>
      <w:bookmarkStart w:id="2" w:name="_Toc32599901"/>
      <w:r w:rsidRPr="00BA6661">
        <w:rPr>
          <w:color w:val="000000" w:themeColor="text1"/>
          <w:sz w:val="24"/>
          <w:szCs w:val="24"/>
          <w:lang w:val="en-US"/>
        </w:rPr>
        <w:lastRenderedPageBreak/>
        <w:t>Figure S</w:t>
      </w:r>
      <w:r w:rsidRPr="00BA6661">
        <w:rPr>
          <w:color w:val="000000" w:themeColor="text1"/>
          <w:sz w:val="24"/>
          <w:szCs w:val="24"/>
          <w:lang w:val="en-US"/>
        </w:rPr>
        <w:t>2</w:t>
      </w:r>
      <w:r w:rsidRPr="00BA6661">
        <w:rPr>
          <w:color w:val="000000" w:themeColor="text1"/>
          <w:sz w:val="24"/>
          <w:szCs w:val="24"/>
          <w:lang w:val="en-US"/>
        </w:rPr>
        <w:t xml:space="preserve">: </w:t>
      </w:r>
      <w:r w:rsidRPr="00BA6661">
        <w:rPr>
          <w:color w:val="000000" w:themeColor="text1"/>
          <w:sz w:val="24"/>
          <w:szCs w:val="24"/>
          <w:lang w:val="en-US"/>
        </w:rPr>
        <w:t>Macrolide</w:t>
      </w:r>
      <w:r w:rsidRPr="00BA6661">
        <w:rPr>
          <w:color w:val="000000" w:themeColor="text1"/>
          <w:sz w:val="24"/>
          <w:szCs w:val="24"/>
          <w:lang w:val="en-US"/>
        </w:rPr>
        <w:t xml:space="preserve"> consumption and prevalence of antimicrobial resistance to </w:t>
      </w:r>
      <w:r w:rsidRPr="00BA6661">
        <w:rPr>
          <w:color w:val="000000" w:themeColor="text1"/>
          <w:sz w:val="24"/>
          <w:szCs w:val="24"/>
          <w:lang w:val="en-US"/>
        </w:rPr>
        <w:t>azithromycin</w:t>
      </w:r>
      <w:r w:rsidRPr="00BA6661">
        <w:rPr>
          <w:color w:val="000000" w:themeColor="text1"/>
          <w:sz w:val="24"/>
          <w:szCs w:val="24"/>
          <w:lang w:val="en-US"/>
        </w:rPr>
        <w:t xml:space="preserve"> in </w:t>
      </w:r>
      <w:r w:rsidRPr="00BA6661">
        <w:rPr>
          <w:i/>
          <w:iCs/>
          <w:color w:val="000000" w:themeColor="text1"/>
          <w:sz w:val="24"/>
          <w:szCs w:val="24"/>
          <w:lang w:val="en-US"/>
        </w:rPr>
        <w:t>Neisseria gonorrhoeae</w:t>
      </w:r>
      <w:r w:rsidRPr="00BA6661">
        <w:rPr>
          <w:color w:val="000000" w:themeColor="text1"/>
          <w:sz w:val="24"/>
          <w:szCs w:val="24"/>
          <w:lang w:val="en-US"/>
        </w:rPr>
        <w:t xml:space="preserve"> (Ng) and </w:t>
      </w:r>
      <w:r w:rsidRPr="00BA6661">
        <w:rPr>
          <w:color w:val="000000" w:themeColor="text1"/>
          <w:sz w:val="24"/>
          <w:szCs w:val="24"/>
          <w:lang w:val="en-US"/>
        </w:rPr>
        <w:t xml:space="preserve">macrolides in </w:t>
      </w:r>
      <w:proofErr w:type="spellStart"/>
      <w:r w:rsidRPr="00BA6661">
        <w:rPr>
          <w:color w:val="000000" w:themeColor="text1"/>
          <w:sz w:val="24"/>
          <w:szCs w:val="24"/>
          <w:lang w:val="en-US"/>
        </w:rPr>
        <w:t>Streptococcuc</w:t>
      </w:r>
      <w:proofErr w:type="spellEnd"/>
      <w:r w:rsidRPr="00BA6661">
        <w:rPr>
          <w:color w:val="000000" w:themeColor="text1"/>
          <w:sz w:val="24"/>
          <w:szCs w:val="24"/>
          <w:lang w:val="en-US"/>
        </w:rPr>
        <w:t xml:space="preserve"> pneumoniae (</w:t>
      </w:r>
      <w:proofErr w:type="spellStart"/>
      <w:r w:rsidRPr="00BA6661">
        <w:rPr>
          <w:color w:val="000000" w:themeColor="text1"/>
          <w:sz w:val="24"/>
          <w:szCs w:val="24"/>
          <w:lang w:val="en-US"/>
        </w:rPr>
        <w:t>Sp</w:t>
      </w:r>
      <w:proofErr w:type="spellEnd"/>
      <w:r w:rsidRPr="00BA6661">
        <w:rPr>
          <w:color w:val="000000" w:themeColor="text1"/>
          <w:sz w:val="24"/>
          <w:szCs w:val="24"/>
          <w:lang w:val="en-US"/>
        </w:rPr>
        <w:t xml:space="preserve">) </w:t>
      </w:r>
      <w:r w:rsidRPr="00BA6661">
        <w:rPr>
          <w:color w:val="000000" w:themeColor="text1"/>
          <w:sz w:val="24"/>
          <w:szCs w:val="24"/>
          <w:lang w:val="en-US"/>
        </w:rPr>
        <w:t>in 30 European countries</w:t>
      </w:r>
      <w:bookmarkEnd w:id="2"/>
    </w:p>
    <w:p w14:paraId="0B1062BC" w14:textId="77777777" w:rsidR="00D85550" w:rsidRDefault="00D85550">
      <w:pPr>
        <w:rPr>
          <w:lang w:val="en-US"/>
        </w:rPr>
      </w:pPr>
    </w:p>
    <w:p w14:paraId="0802DE25" w14:textId="0B57BC47" w:rsidR="00D85550" w:rsidRDefault="0000046D">
      <w:pPr>
        <w:rPr>
          <w:lang w:val="en-US"/>
        </w:rPr>
      </w:pPr>
      <w:r w:rsidRPr="0000046D">
        <w:rPr>
          <w:lang w:val="en-US"/>
        </w:rPr>
        <w:drawing>
          <wp:inline distT="0" distB="0" distL="0" distR="0" wp14:anchorId="2858879F" wp14:editId="6757A14C">
            <wp:extent cx="5029200" cy="3657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E95EF" w14:textId="592AB6C2" w:rsidR="0085241D" w:rsidRDefault="0085241D">
      <w:pPr>
        <w:rPr>
          <w:lang w:val="en-US"/>
        </w:rPr>
      </w:pPr>
    </w:p>
    <w:p w14:paraId="07E38FDC" w14:textId="77777777" w:rsidR="0085241D" w:rsidRPr="0085241D" w:rsidRDefault="0085241D" w:rsidP="0085241D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  <w:sz w:val="13"/>
          <w:szCs w:val="13"/>
          <w:lang w:val="en-GB"/>
        </w:rPr>
      </w:pPr>
      <w:r w:rsidRPr="0085241D">
        <w:rPr>
          <w:rFonts w:ascii="Arial" w:hAnsi="Arial" w:cs="Arial"/>
          <w:color w:val="000000" w:themeColor="text1"/>
          <w:sz w:val="13"/>
          <w:szCs w:val="13"/>
          <w:lang w:val="en-GB"/>
        </w:rPr>
        <w:t>Abbreviations: AT, Austria; BE, Belgium; CZ, Czech Republic; DE, Germany; DK, Denmark; EE, Estonia; EL, Greece; ES, Spain; FI, Finland; FR, France; HR, Croatia; HU, Hungary; IE, Ireland; IT, Italy; LU, Luxembourg; LV, Latvia; NL, the Netherlands; NO, Norway; PL, Poland; PT, Portugal; SE, Sweden; SI, Slovenia; SK, Slovakia; UK, United Kingdom.</w:t>
      </w:r>
    </w:p>
    <w:p w14:paraId="56B20E83" w14:textId="77777777" w:rsidR="0085241D" w:rsidRDefault="0085241D">
      <w:pPr>
        <w:rPr>
          <w:lang w:val="en-US"/>
        </w:rPr>
      </w:pPr>
    </w:p>
    <w:p w14:paraId="00F05CD6" w14:textId="6A0584F1" w:rsidR="0000046D" w:rsidRDefault="0000046D">
      <w:pPr>
        <w:rPr>
          <w:lang w:val="en-US"/>
        </w:rPr>
      </w:pPr>
    </w:p>
    <w:p w14:paraId="70C9F773" w14:textId="0EA86FBC" w:rsidR="00C4268B" w:rsidRDefault="00C4268B">
      <w:pPr>
        <w:rPr>
          <w:lang w:val="en-US"/>
        </w:rPr>
      </w:pPr>
    </w:p>
    <w:p w14:paraId="54C0E369" w14:textId="77777777" w:rsidR="0000046D" w:rsidRDefault="0000046D">
      <w:pPr>
        <w:rPr>
          <w:lang w:val="en-US"/>
        </w:rPr>
      </w:pPr>
    </w:p>
    <w:p w14:paraId="30DFF4E6" w14:textId="2ADA5160" w:rsidR="00D85550" w:rsidRDefault="00D85550">
      <w:pPr>
        <w:rPr>
          <w:lang w:val="en-US"/>
        </w:rPr>
      </w:pPr>
    </w:p>
    <w:p w14:paraId="556339C7" w14:textId="74E11901" w:rsidR="00D85550" w:rsidRDefault="00D85550">
      <w:pPr>
        <w:rPr>
          <w:lang w:val="en-US"/>
        </w:rPr>
      </w:pPr>
    </w:p>
    <w:p w14:paraId="7A892DC7" w14:textId="526810EB" w:rsidR="00D85550" w:rsidRDefault="00D85550">
      <w:pPr>
        <w:rPr>
          <w:lang w:val="en-US"/>
        </w:rPr>
      </w:pPr>
    </w:p>
    <w:p w14:paraId="46D842E0" w14:textId="658899A7" w:rsidR="005661EF" w:rsidRDefault="005661EF">
      <w:pPr>
        <w:rPr>
          <w:lang w:val="en-US"/>
        </w:rPr>
      </w:pPr>
    </w:p>
    <w:p w14:paraId="447B932E" w14:textId="5C024FA9" w:rsidR="005661EF" w:rsidRPr="00D85550" w:rsidRDefault="005661EF">
      <w:pPr>
        <w:rPr>
          <w:lang w:val="en-US"/>
        </w:rPr>
      </w:pPr>
    </w:p>
    <w:sectPr w:rsidR="005661EF" w:rsidRPr="00D85550" w:rsidSect="00B21795"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E4C1C5" w14:textId="77777777" w:rsidR="00F600F1" w:rsidRDefault="00F600F1" w:rsidP="00BA6661">
      <w:r>
        <w:separator/>
      </w:r>
    </w:p>
  </w:endnote>
  <w:endnote w:type="continuationSeparator" w:id="0">
    <w:p w14:paraId="73D10BB5" w14:textId="77777777" w:rsidR="00F600F1" w:rsidRDefault="00F600F1" w:rsidP="00BA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570566570"/>
      <w:docPartObj>
        <w:docPartGallery w:val="Page Numbers (Bottom of Page)"/>
        <w:docPartUnique/>
      </w:docPartObj>
    </w:sdtPr>
    <w:sdtContent>
      <w:p w14:paraId="6C06F94D" w14:textId="54EADD20" w:rsidR="00BA6661" w:rsidRDefault="00BA6661" w:rsidP="001812C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E5EF5C3" w14:textId="77777777" w:rsidR="00BA6661" w:rsidRDefault="00BA6661" w:rsidP="00BA666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102752283"/>
      <w:docPartObj>
        <w:docPartGallery w:val="Page Numbers (Bottom of Page)"/>
        <w:docPartUnique/>
      </w:docPartObj>
    </w:sdtPr>
    <w:sdtContent>
      <w:p w14:paraId="75D63D8F" w14:textId="16BDCEFA" w:rsidR="00BA6661" w:rsidRDefault="00BA6661" w:rsidP="001812C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AA0CC9C" w14:textId="77777777" w:rsidR="00BA6661" w:rsidRDefault="00BA6661" w:rsidP="00BA666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C6FA17" w14:textId="77777777" w:rsidR="00F600F1" w:rsidRDefault="00F600F1" w:rsidP="00BA6661">
      <w:r>
        <w:separator/>
      </w:r>
    </w:p>
  </w:footnote>
  <w:footnote w:type="continuationSeparator" w:id="0">
    <w:p w14:paraId="7DA171FB" w14:textId="77777777" w:rsidR="00F600F1" w:rsidRDefault="00F600F1" w:rsidP="00BA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550"/>
    <w:rsid w:val="0000046D"/>
    <w:rsid w:val="00443882"/>
    <w:rsid w:val="00540D12"/>
    <w:rsid w:val="005661EF"/>
    <w:rsid w:val="007E1F2A"/>
    <w:rsid w:val="0085241D"/>
    <w:rsid w:val="00A2302F"/>
    <w:rsid w:val="00AB100F"/>
    <w:rsid w:val="00B21795"/>
    <w:rsid w:val="00BA6661"/>
    <w:rsid w:val="00C4268B"/>
    <w:rsid w:val="00CC5CF3"/>
    <w:rsid w:val="00D85550"/>
    <w:rsid w:val="00F6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D88777"/>
  <w15:chartTrackingRefBased/>
  <w15:docId w15:val="{68A91EE6-2E42-A346-9F62-D515CFB89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666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4388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3882"/>
    <w:rPr>
      <w:rFonts w:ascii="Times New Roman" w:hAnsi="Times New Roman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A66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BA666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BA6661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BA66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6661"/>
  </w:style>
  <w:style w:type="character" w:styleId="PageNumber">
    <w:name w:val="page number"/>
    <w:basedOn w:val="DefaultParagraphFont"/>
    <w:uiPriority w:val="99"/>
    <w:semiHidden/>
    <w:unhideWhenUsed/>
    <w:rsid w:val="00BA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Kenyon</dc:creator>
  <cp:keywords/>
  <dc:description/>
  <cp:lastModifiedBy>Chris Kenyon</cp:lastModifiedBy>
  <cp:revision>4</cp:revision>
  <dcterms:created xsi:type="dcterms:W3CDTF">2020-02-14T18:06:00Z</dcterms:created>
  <dcterms:modified xsi:type="dcterms:W3CDTF">2020-02-14T18:12:00Z</dcterms:modified>
</cp:coreProperties>
</file>